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7C4" w:rsidRPr="00A047C4" w:rsidRDefault="00A047C4" w:rsidP="00A047C4">
      <w:pPr>
        <w:widowControl w:val="0"/>
        <w:tabs>
          <w:tab w:val="left" w:pos="426"/>
        </w:tabs>
        <w:autoSpaceDE w:val="0"/>
        <w:autoSpaceDN w:val="0"/>
        <w:spacing w:after="0" w:line="240" w:lineRule="auto"/>
        <w:ind w:left="426" w:hanging="426"/>
        <w:jc w:val="both"/>
        <w:rPr>
          <w:rFonts w:ascii="Verdana" w:eastAsia="Arial" w:hAnsi="Verdana" w:cs="Arial"/>
          <w:iCs/>
          <w:color w:val="000000"/>
          <w:sz w:val="21"/>
          <w:szCs w:val="21"/>
          <w:lang w:eastAsia="it-IT" w:bidi="it-IT"/>
        </w:rPr>
      </w:pPr>
      <w:r w:rsidRPr="00A047C4">
        <w:rPr>
          <w:rFonts w:ascii="Verdana" w:eastAsia="Arial" w:hAnsi="Verdana" w:cs="Arial"/>
          <w:iCs/>
          <w:color w:val="000000"/>
          <w:sz w:val="21"/>
          <w:szCs w:val="21"/>
          <w:u w:val="single"/>
          <w:lang w:eastAsia="it-IT" w:bidi="it-IT"/>
        </w:rPr>
        <w:t>DECRETO PRECARI, UN PRIMO PASSO AVANTI IMPORTANTE. ORA LA POLITICA SI ASSUMA LA SUA RESPONSABILITÀ – COMUNICATO UNITARIO</w:t>
      </w:r>
    </w:p>
    <w:p w:rsidR="00A047C4" w:rsidRPr="00A047C4" w:rsidRDefault="00A047C4" w:rsidP="00A047C4">
      <w:pPr>
        <w:widowControl w:val="0"/>
        <w:tabs>
          <w:tab w:val="left" w:pos="426"/>
        </w:tabs>
        <w:autoSpaceDE w:val="0"/>
        <w:autoSpaceDN w:val="0"/>
        <w:spacing w:after="0" w:line="240" w:lineRule="auto"/>
        <w:jc w:val="both"/>
        <w:rPr>
          <w:rFonts w:ascii="Verdana" w:eastAsia="Arial" w:hAnsi="Verdana" w:cs="Arial"/>
          <w:iCs/>
          <w:color w:val="000000"/>
          <w:sz w:val="21"/>
          <w:szCs w:val="21"/>
          <w:lang w:eastAsia="it-IT" w:bidi="it-IT"/>
        </w:rPr>
      </w:pPr>
    </w:p>
    <w:p w:rsidR="00A047C4" w:rsidRPr="00A047C4" w:rsidRDefault="00A047C4" w:rsidP="00A047C4">
      <w:pPr>
        <w:widowControl w:val="0"/>
        <w:tabs>
          <w:tab w:val="left" w:pos="426"/>
        </w:tabs>
        <w:autoSpaceDE w:val="0"/>
        <w:autoSpaceDN w:val="0"/>
        <w:spacing w:after="0" w:line="240" w:lineRule="auto"/>
        <w:jc w:val="both"/>
        <w:rPr>
          <w:rFonts w:ascii="Verdana" w:eastAsia="Arial" w:hAnsi="Verdana" w:cs="Arial"/>
          <w:iCs/>
          <w:color w:val="000000"/>
          <w:sz w:val="21"/>
          <w:szCs w:val="21"/>
          <w:lang w:eastAsia="it-IT" w:bidi="it-IT"/>
        </w:rPr>
      </w:pPr>
    </w:p>
    <w:p w:rsidR="00A047C4" w:rsidRPr="00A047C4" w:rsidRDefault="00A047C4" w:rsidP="00A047C4">
      <w:pPr>
        <w:widowControl w:val="0"/>
        <w:tabs>
          <w:tab w:val="left" w:pos="426"/>
        </w:tabs>
        <w:autoSpaceDE w:val="0"/>
        <w:autoSpaceDN w:val="0"/>
        <w:spacing w:after="0" w:line="240" w:lineRule="auto"/>
        <w:jc w:val="both"/>
        <w:rPr>
          <w:rFonts w:ascii="Verdana" w:eastAsia="Arial" w:hAnsi="Verdana" w:cs="Arial"/>
          <w:iCs/>
          <w:color w:val="000000"/>
          <w:sz w:val="21"/>
          <w:szCs w:val="21"/>
          <w:lang w:eastAsia="it-IT" w:bidi="it-IT"/>
        </w:rPr>
      </w:pPr>
    </w:p>
    <w:tbl>
      <w:tblPr>
        <w:tblW w:w="5000" w:type="pct"/>
        <w:jc w:val="center"/>
        <w:tblCellMar>
          <w:left w:w="0" w:type="dxa"/>
          <w:right w:w="0" w:type="dxa"/>
        </w:tblCellMar>
        <w:tblLook w:val="0000" w:firstRow="0" w:lastRow="0" w:firstColumn="0" w:lastColumn="0" w:noHBand="0" w:noVBand="0"/>
      </w:tblPr>
      <w:tblGrid>
        <w:gridCol w:w="2063"/>
        <w:gridCol w:w="1658"/>
        <w:gridCol w:w="2279"/>
        <w:gridCol w:w="1785"/>
        <w:gridCol w:w="1853"/>
      </w:tblGrid>
      <w:tr w:rsidR="00A047C4" w:rsidRPr="00A047C4" w:rsidTr="00F94F78">
        <w:trPr>
          <w:jc w:val="center"/>
        </w:trPr>
        <w:tc>
          <w:tcPr>
            <w:tcW w:w="2063" w:type="dxa"/>
            <w:vAlign w:val="center"/>
          </w:tcPr>
          <w:p w:rsidR="00A047C4" w:rsidRPr="00A047C4" w:rsidRDefault="00A047C4" w:rsidP="00A047C4">
            <w:pPr>
              <w:widowControl w:val="0"/>
              <w:autoSpaceDE w:val="0"/>
              <w:autoSpaceDN w:val="0"/>
              <w:spacing w:after="0" w:line="240" w:lineRule="auto"/>
              <w:ind w:hanging="110"/>
              <w:jc w:val="center"/>
              <w:rPr>
                <w:rFonts w:ascii="Arial" w:eastAsia="Arial" w:hAnsi="Arial" w:cs="Arial"/>
                <w:bCs/>
                <w:sz w:val="16"/>
                <w:szCs w:val="16"/>
                <w:lang w:eastAsia="it-IT" w:bidi="it-IT"/>
              </w:rPr>
            </w:pPr>
            <w:r w:rsidRPr="00A047C4">
              <w:rPr>
                <w:rFonts w:ascii="Arial" w:eastAsia="Arial" w:hAnsi="Arial" w:cs="Arial"/>
                <w:noProof/>
                <w:sz w:val="16"/>
                <w:szCs w:val="16"/>
                <w:lang w:eastAsia="it-IT"/>
              </w:rPr>
              <w:drawing>
                <wp:inline distT="0" distB="0" distL="0" distR="0" wp14:anchorId="1D06F04E" wp14:editId="2E3D96BC">
                  <wp:extent cx="1179830" cy="440681"/>
                  <wp:effectExtent l="0" t="0" r="1270" b="0"/>
                  <wp:docPr id="25" name="Immagine 25"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ccgil_marchio_orizzontale_ok"/>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866"/>
                          <a:stretch/>
                        </pic:blipFill>
                        <pic:spPr bwMode="auto">
                          <a:xfrm>
                            <a:off x="0" y="0"/>
                            <a:ext cx="1187806" cy="4436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59" w:type="dxa"/>
            <w:vAlign w:val="center"/>
          </w:tcPr>
          <w:p w:rsidR="00A047C4" w:rsidRPr="00A047C4" w:rsidRDefault="00A047C4" w:rsidP="00A047C4">
            <w:pPr>
              <w:widowControl w:val="0"/>
              <w:autoSpaceDE w:val="0"/>
              <w:autoSpaceDN w:val="0"/>
              <w:spacing w:after="0" w:line="240" w:lineRule="auto"/>
              <w:jc w:val="center"/>
              <w:rPr>
                <w:rFonts w:ascii="Arial" w:eastAsia="Arial" w:hAnsi="Arial" w:cs="Arial"/>
                <w:bCs/>
                <w:sz w:val="16"/>
                <w:szCs w:val="16"/>
                <w:lang w:eastAsia="it-IT" w:bidi="it-IT"/>
              </w:rPr>
            </w:pPr>
            <w:r w:rsidRPr="00A047C4">
              <w:rPr>
                <w:rFonts w:ascii="Arial" w:eastAsia="Arial" w:hAnsi="Arial" w:cs="Arial"/>
                <w:bCs/>
                <w:noProof/>
                <w:sz w:val="16"/>
                <w:szCs w:val="16"/>
                <w:lang w:eastAsia="it-IT"/>
              </w:rPr>
              <w:drawing>
                <wp:inline distT="0" distB="0" distL="0" distR="0" wp14:anchorId="0BCC7F32" wp14:editId="3F384CEC">
                  <wp:extent cx="902447" cy="385555"/>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FSUR-cisl-scuola-piatt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0301" cy="401728"/>
                          </a:xfrm>
                          <a:prstGeom prst="rect">
                            <a:avLst/>
                          </a:prstGeom>
                        </pic:spPr>
                      </pic:pic>
                    </a:graphicData>
                  </a:graphic>
                </wp:inline>
              </w:drawing>
            </w:r>
          </w:p>
        </w:tc>
        <w:tc>
          <w:tcPr>
            <w:tcW w:w="2280" w:type="dxa"/>
            <w:vAlign w:val="center"/>
          </w:tcPr>
          <w:p w:rsidR="00A047C4" w:rsidRPr="00A047C4" w:rsidRDefault="00A047C4" w:rsidP="00A047C4">
            <w:pPr>
              <w:widowControl w:val="0"/>
              <w:autoSpaceDE w:val="0"/>
              <w:autoSpaceDN w:val="0"/>
              <w:spacing w:after="0" w:line="240" w:lineRule="auto"/>
              <w:jc w:val="center"/>
              <w:rPr>
                <w:rFonts w:ascii="Arial" w:eastAsia="Arial" w:hAnsi="Arial" w:cs="Arial"/>
                <w:bCs/>
                <w:sz w:val="16"/>
                <w:szCs w:val="16"/>
                <w:lang w:eastAsia="it-IT" w:bidi="it-IT"/>
              </w:rPr>
            </w:pPr>
            <w:r w:rsidRPr="00A047C4">
              <w:rPr>
                <w:rFonts w:ascii="Arial" w:eastAsia="Arial" w:hAnsi="Arial" w:cs="Arial"/>
                <w:noProof/>
                <w:sz w:val="16"/>
                <w:szCs w:val="16"/>
                <w:lang w:eastAsia="it-IT"/>
              </w:rPr>
              <w:drawing>
                <wp:inline distT="0" distB="0" distL="0" distR="0" wp14:anchorId="6DEBD691" wp14:editId="0B937AE8">
                  <wp:extent cx="1333500" cy="4400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40055"/>
                          </a:xfrm>
                          <a:prstGeom prst="rect">
                            <a:avLst/>
                          </a:prstGeom>
                          <a:noFill/>
                          <a:ln>
                            <a:noFill/>
                          </a:ln>
                        </pic:spPr>
                      </pic:pic>
                    </a:graphicData>
                  </a:graphic>
                </wp:inline>
              </w:drawing>
            </w:r>
          </w:p>
        </w:tc>
        <w:tc>
          <w:tcPr>
            <w:tcW w:w="1786" w:type="dxa"/>
            <w:vAlign w:val="center"/>
          </w:tcPr>
          <w:p w:rsidR="00A047C4" w:rsidRPr="00A047C4" w:rsidRDefault="00A047C4" w:rsidP="00A047C4">
            <w:pPr>
              <w:widowControl w:val="0"/>
              <w:autoSpaceDE w:val="0"/>
              <w:autoSpaceDN w:val="0"/>
              <w:spacing w:after="0" w:line="240" w:lineRule="auto"/>
              <w:jc w:val="center"/>
              <w:rPr>
                <w:rFonts w:ascii="Arial" w:eastAsia="Arial" w:hAnsi="Arial" w:cs="Arial"/>
                <w:bCs/>
                <w:sz w:val="16"/>
                <w:szCs w:val="16"/>
                <w:lang w:eastAsia="it-IT" w:bidi="it-IT"/>
              </w:rPr>
            </w:pPr>
            <w:r w:rsidRPr="00A047C4">
              <w:rPr>
                <w:rFonts w:ascii="Arial" w:eastAsia="Arial" w:hAnsi="Arial" w:cs="Arial"/>
                <w:bCs/>
                <w:noProof/>
                <w:sz w:val="16"/>
                <w:szCs w:val="16"/>
                <w:lang w:eastAsia="it-IT"/>
              </w:rPr>
              <w:drawing>
                <wp:inline distT="0" distB="0" distL="0" distR="0" wp14:anchorId="33DEBE12" wp14:editId="032E7D54">
                  <wp:extent cx="941873" cy="431800"/>
                  <wp:effectExtent l="0" t="0" r="0" b="6350"/>
                  <wp:docPr id="28" name="Immagine 28" descr="NuovoLogoSnals_13ot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LogoSnals_13ott_0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363" t="17778" r="5580" b="12157"/>
                          <a:stretch/>
                        </pic:blipFill>
                        <pic:spPr bwMode="auto">
                          <a:xfrm>
                            <a:off x="0" y="0"/>
                            <a:ext cx="969260" cy="444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4" w:type="dxa"/>
            <w:vAlign w:val="center"/>
          </w:tcPr>
          <w:p w:rsidR="00A047C4" w:rsidRPr="00A047C4" w:rsidRDefault="00A047C4" w:rsidP="00A047C4">
            <w:pPr>
              <w:widowControl w:val="0"/>
              <w:autoSpaceDE w:val="0"/>
              <w:autoSpaceDN w:val="0"/>
              <w:spacing w:after="0" w:line="240" w:lineRule="auto"/>
              <w:jc w:val="center"/>
              <w:rPr>
                <w:rFonts w:ascii="Arial" w:eastAsia="Arial" w:hAnsi="Arial" w:cs="Arial"/>
                <w:sz w:val="16"/>
                <w:szCs w:val="16"/>
                <w:lang w:eastAsia="it-IT" w:bidi="it-IT"/>
              </w:rPr>
            </w:pPr>
            <w:r w:rsidRPr="00A047C4">
              <w:rPr>
                <w:rFonts w:ascii="Arial" w:eastAsia="Arial" w:hAnsi="Arial" w:cs="Arial"/>
                <w:noProof/>
                <w:sz w:val="16"/>
                <w:szCs w:val="16"/>
                <w:lang w:eastAsia="it-IT"/>
              </w:rPr>
              <w:drawing>
                <wp:inline distT="0" distB="0" distL="0" distR="0" wp14:anchorId="298AA941" wp14:editId="478BDCC3">
                  <wp:extent cx="948267" cy="439363"/>
                  <wp:effectExtent l="0" t="0" r="4445"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gilda-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982" cy="464251"/>
                          </a:xfrm>
                          <a:prstGeom prst="rect">
                            <a:avLst/>
                          </a:prstGeom>
                        </pic:spPr>
                      </pic:pic>
                    </a:graphicData>
                  </a:graphic>
                </wp:inline>
              </w:drawing>
            </w:r>
          </w:p>
        </w:tc>
      </w:tr>
    </w:tbl>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p>
    <w:p w:rsidR="00A047C4" w:rsidRPr="00A047C4" w:rsidRDefault="00A047C4" w:rsidP="00A047C4">
      <w:pPr>
        <w:widowControl w:val="0"/>
        <w:tabs>
          <w:tab w:val="left" w:pos="426"/>
        </w:tabs>
        <w:autoSpaceDE w:val="0"/>
        <w:autoSpaceDN w:val="0"/>
        <w:spacing w:before="120" w:after="0" w:line="240" w:lineRule="auto"/>
        <w:jc w:val="both"/>
        <w:rPr>
          <w:rFonts w:ascii="Arial" w:eastAsia="Arial" w:hAnsi="Arial" w:cs="Arial"/>
          <w:b/>
          <w:iCs/>
          <w:color w:val="E36C0A"/>
          <w:sz w:val="28"/>
          <w:szCs w:val="26"/>
          <w:lang w:eastAsia="it-IT" w:bidi="it-IT"/>
        </w:rPr>
      </w:pPr>
      <w:r w:rsidRPr="00A047C4">
        <w:rPr>
          <w:rFonts w:ascii="Arial" w:eastAsia="Arial" w:hAnsi="Arial" w:cs="Arial"/>
          <w:b/>
          <w:iCs/>
          <w:color w:val="E36C0A"/>
          <w:sz w:val="28"/>
          <w:szCs w:val="26"/>
          <w:lang w:eastAsia="it-IT" w:bidi="it-IT"/>
        </w:rPr>
        <w:t>Decreto precari, un primo passo avanti importante</w:t>
      </w: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r w:rsidRPr="00A047C4">
        <w:rPr>
          <w:rFonts w:ascii="Arial" w:eastAsia="Arial" w:hAnsi="Arial" w:cs="Arial"/>
          <w:b/>
          <w:i/>
          <w:iCs/>
          <w:color w:val="E36C0A"/>
          <w:sz w:val="24"/>
          <w:szCs w:val="21"/>
          <w:lang w:eastAsia="it-IT" w:bidi="it-IT"/>
        </w:rPr>
        <w:t>Ora la politica si assuma la sua responsabilità</w:t>
      </w: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r w:rsidRPr="00A047C4">
        <w:rPr>
          <w:rFonts w:ascii="Arial" w:eastAsia="Arial" w:hAnsi="Arial" w:cs="Arial"/>
          <w:iCs/>
          <w:color w:val="000000"/>
          <w:sz w:val="21"/>
          <w:szCs w:val="21"/>
          <w:lang w:eastAsia="it-IT" w:bidi="it-IT"/>
        </w:rPr>
        <w:t xml:space="preserve">L’approvazione del decreto che dà attuazione all’intesa su reclutamento e precariato è un fatto importante, nonostante le riserve che ancora permangono in una parte della maggioranza e che spiegano la formula (“salvo intese”) con cui il Consiglio dei Ministri ha licenziato il provvedimento. Un concreto passo avanti è stato fatto, ora è necessario che il decreto venga pubblicato e approvato in tempi brevi, senza cambiamenti sostanziali, e includendo anche la previsione di un concorso riservato ai facenti funzioni DSGA, in coerenza con i contenuti dell'intesa. Difficile comprendere le ragioni per cui si insiste, da parte di esponenti di maggioranza, sull’introduzione di step selettivi più rigidi rispetto a quelli comunque già previsti per tutte le procedure, sia per quelle concorsuali che per i PAS, molto impegnativi e soggetti a valutazione. È una posizione che appare connotata in senso ideologico e che trascura un fatto sostanziale: i destinatari delle misure scaturite dal confronto sindacati MIUR sono persone che hanno già maturato nelle nostre scuole una consistente esperienza di lavoro, è grazie a loro se si sono potute svolgere le attività didattiche in decine di migliaia di classi, il che avrebbe reso possibile anche il riscontro di eventuali impreparazioni o incompetenze. </w:t>
      </w: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r w:rsidRPr="00A047C4">
        <w:rPr>
          <w:rFonts w:ascii="Arial" w:eastAsia="Arial" w:hAnsi="Arial" w:cs="Arial"/>
          <w:iCs/>
          <w:color w:val="000000"/>
          <w:sz w:val="21"/>
          <w:szCs w:val="21"/>
          <w:lang w:eastAsia="it-IT" w:bidi="it-IT"/>
        </w:rPr>
        <w:t>Non è accettabile che il sistema scolastico utilizzi in modo ricorrente quote abnormi di lavoro precario, in spregio alle norme europee, senza riconoscere in alcun modo l’esperienza maturata: una lacuna che l’intesa sindacati MIUR ha voluto colmare, coniugando i diritti dei precari e l’interesse al buon andamento del sistema scolastico, in particolare con la copertura stabile dei posti disponibili in are territoriali nelle quali le graduatorie a esaurimento e quelle di merito sono da tempo esaurite e non sarebbero possibili assunzioni a tempo indeterminato.</w:t>
      </w: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r w:rsidRPr="00A047C4">
        <w:rPr>
          <w:rFonts w:ascii="Arial" w:eastAsia="Arial" w:hAnsi="Arial" w:cs="Arial"/>
          <w:iCs/>
          <w:color w:val="000000"/>
          <w:sz w:val="21"/>
          <w:szCs w:val="21"/>
          <w:lang w:eastAsia="it-IT" w:bidi="it-IT"/>
        </w:rPr>
        <w:t xml:space="preserve">In tale contesto, vanno assicurate le priorità di scorrimento dei Concorsi 2016 e 2018, con l’obiettivo di coprire tutti i posti disponibili e vacanti nel rispetto delle aspettative dei candidati.  </w:t>
      </w: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r w:rsidRPr="00A047C4">
        <w:rPr>
          <w:rFonts w:ascii="Arial" w:eastAsia="Arial" w:hAnsi="Arial" w:cs="Arial"/>
          <w:iCs/>
          <w:color w:val="000000"/>
          <w:sz w:val="21"/>
          <w:szCs w:val="21"/>
          <w:lang w:eastAsia="it-IT" w:bidi="it-IT"/>
        </w:rPr>
        <w:t xml:space="preserve">L’approvazione del decreto senza stravolgimenti rappresenta in questo momento una precisa priorità, fermo restando che una valutazione di merito complessiva sarà possibile solo leggendo il decreto in G.U. il 28 agosto, così come sarà anche necessario incrementare e attivare ogni ulteriore confronto con il MIUR e con le Commissioni Parlamentari a cui chiederemo di essere ascoltati. Il nostro impegno comunque prosegue perché sia data piena attuazione a tutto ciò che prevede l’intesa del 24 aprile a Palazzo Chigi e a quelle definite ai tavoli tematici di confronto cui è stata affidata la puntuale declinazione dei suoi contenuti, tra cui quelli riguardanti una diversa politica degli organici e delle assunzioni del personale ATA. </w:t>
      </w: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r w:rsidRPr="00A047C4">
        <w:rPr>
          <w:rFonts w:ascii="Arial" w:eastAsia="Arial" w:hAnsi="Arial" w:cs="Arial"/>
          <w:iCs/>
          <w:color w:val="000000"/>
          <w:sz w:val="21"/>
          <w:szCs w:val="21"/>
          <w:lang w:eastAsia="it-IT" w:bidi="it-IT"/>
        </w:rPr>
        <w:t>Più in generale, chiediamo al Governo di rispettare, nella prossima legge di stabilità, l’impegno di assicurare le risorse aggiuntive necessarie per un rinnovo contrattuale che riconosca in modo adeguato il valore di tutte le professionalità operanti nel comparto dell’istruzione e della ricerca.</w:t>
      </w: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r w:rsidRPr="00A047C4">
        <w:rPr>
          <w:rFonts w:ascii="Arial" w:eastAsia="Arial" w:hAnsi="Arial" w:cs="Arial"/>
          <w:iCs/>
          <w:color w:val="000000"/>
          <w:sz w:val="21"/>
          <w:szCs w:val="21"/>
          <w:lang w:eastAsia="it-IT" w:bidi="it-IT"/>
        </w:rPr>
        <w:t>Roma, 7 agosto 2019</w:t>
      </w:r>
    </w:p>
    <w:p w:rsidR="00A047C4" w:rsidRPr="00A047C4" w:rsidRDefault="00A047C4" w:rsidP="00A047C4">
      <w:pPr>
        <w:widowControl w:val="0"/>
        <w:tabs>
          <w:tab w:val="left" w:pos="426"/>
        </w:tabs>
        <w:autoSpaceDE w:val="0"/>
        <w:autoSpaceDN w:val="0"/>
        <w:spacing w:after="0" w:line="240" w:lineRule="auto"/>
        <w:jc w:val="both"/>
        <w:rPr>
          <w:rFonts w:ascii="Arial" w:eastAsia="Arial" w:hAnsi="Arial" w:cs="Arial"/>
          <w:iCs/>
          <w:color w:val="000000"/>
          <w:sz w:val="21"/>
          <w:szCs w:val="21"/>
          <w:lang w:eastAsia="it-IT" w:bidi="it-IT"/>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7"/>
        <w:gridCol w:w="1927"/>
        <w:gridCol w:w="1928"/>
        <w:gridCol w:w="1928"/>
        <w:gridCol w:w="1928"/>
      </w:tblGrid>
      <w:tr w:rsidR="00A047C4" w:rsidRPr="00A047C4" w:rsidTr="00F94F78">
        <w:trPr>
          <w:jc w:val="center"/>
        </w:trPr>
        <w:tc>
          <w:tcPr>
            <w:tcW w:w="1000" w:type="pct"/>
          </w:tcPr>
          <w:p w:rsidR="00A047C4" w:rsidRPr="00A047C4" w:rsidRDefault="00A047C4" w:rsidP="00A047C4">
            <w:pPr>
              <w:tabs>
                <w:tab w:val="left" w:pos="426"/>
              </w:tabs>
              <w:jc w:val="center"/>
              <w:rPr>
                <w:rFonts w:ascii="Arial" w:eastAsia="Arial" w:hAnsi="Arial" w:cs="Arial"/>
                <w:iCs/>
                <w:color w:val="000000"/>
                <w:sz w:val="20"/>
                <w:szCs w:val="20"/>
                <w:lang w:eastAsia="it-IT" w:bidi="it-IT"/>
              </w:rPr>
            </w:pPr>
            <w:proofErr w:type="spellStart"/>
            <w:r w:rsidRPr="00A047C4">
              <w:rPr>
                <w:rFonts w:ascii="Arial" w:eastAsia="Arial" w:hAnsi="Arial" w:cs="Arial"/>
                <w:iCs/>
                <w:color w:val="000000"/>
                <w:sz w:val="20"/>
                <w:szCs w:val="20"/>
                <w:lang w:eastAsia="it-IT" w:bidi="it-IT"/>
              </w:rPr>
              <w:t>Flc</w:t>
            </w:r>
            <w:proofErr w:type="spellEnd"/>
            <w:r w:rsidRPr="00A047C4">
              <w:rPr>
                <w:rFonts w:ascii="Arial" w:eastAsia="Arial" w:hAnsi="Arial" w:cs="Arial"/>
                <w:iCs/>
                <w:color w:val="000000"/>
                <w:sz w:val="20"/>
                <w:szCs w:val="20"/>
                <w:lang w:eastAsia="it-IT" w:bidi="it-IT"/>
              </w:rPr>
              <w:t xml:space="preserve"> CGIL</w:t>
            </w:r>
            <w:r w:rsidRPr="00A047C4">
              <w:rPr>
                <w:rFonts w:ascii="Arial" w:eastAsia="Arial" w:hAnsi="Arial" w:cs="Arial"/>
                <w:iCs/>
                <w:color w:val="000000"/>
                <w:sz w:val="20"/>
                <w:szCs w:val="20"/>
                <w:lang w:eastAsia="it-IT" w:bidi="it-IT"/>
              </w:rPr>
              <w:br/>
              <w:t xml:space="preserve">Francesco </w:t>
            </w:r>
            <w:proofErr w:type="spellStart"/>
            <w:r w:rsidRPr="00A047C4">
              <w:rPr>
                <w:rFonts w:ascii="Arial" w:eastAsia="Arial" w:hAnsi="Arial" w:cs="Arial"/>
                <w:iCs/>
                <w:color w:val="000000"/>
                <w:sz w:val="20"/>
                <w:szCs w:val="20"/>
                <w:lang w:eastAsia="it-IT" w:bidi="it-IT"/>
              </w:rPr>
              <w:t>Sinopoli</w:t>
            </w:r>
            <w:proofErr w:type="spellEnd"/>
          </w:p>
        </w:tc>
        <w:tc>
          <w:tcPr>
            <w:tcW w:w="1000" w:type="pct"/>
          </w:tcPr>
          <w:p w:rsidR="00A047C4" w:rsidRPr="00A047C4" w:rsidRDefault="00A047C4" w:rsidP="00A047C4">
            <w:pPr>
              <w:tabs>
                <w:tab w:val="left" w:pos="426"/>
              </w:tabs>
              <w:jc w:val="center"/>
              <w:rPr>
                <w:rFonts w:ascii="Arial" w:eastAsia="Arial" w:hAnsi="Arial" w:cs="Arial"/>
                <w:iCs/>
                <w:color w:val="000000"/>
                <w:sz w:val="20"/>
                <w:szCs w:val="20"/>
                <w:lang w:eastAsia="it-IT" w:bidi="it-IT"/>
              </w:rPr>
            </w:pPr>
            <w:r w:rsidRPr="00A047C4">
              <w:rPr>
                <w:rFonts w:ascii="Arial" w:eastAsia="Arial" w:hAnsi="Arial" w:cs="Arial"/>
                <w:iCs/>
                <w:color w:val="000000"/>
                <w:sz w:val="20"/>
                <w:szCs w:val="20"/>
                <w:lang w:eastAsia="it-IT" w:bidi="it-IT"/>
              </w:rPr>
              <w:t>CISL FSUR</w:t>
            </w:r>
            <w:r w:rsidRPr="00A047C4">
              <w:rPr>
                <w:rFonts w:ascii="Arial" w:eastAsia="Arial" w:hAnsi="Arial" w:cs="Arial"/>
                <w:iCs/>
                <w:color w:val="000000"/>
                <w:sz w:val="20"/>
                <w:szCs w:val="20"/>
                <w:lang w:eastAsia="it-IT" w:bidi="it-IT"/>
              </w:rPr>
              <w:br/>
              <w:t xml:space="preserve">Maddalena </w:t>
            </w:r>
            <w:proofErr w:type="spellStart"/>
            <w:r w:rsidRPr="00A047C4">
              <w:rPr>
                <w:rFonts w:ascii="Arial" w:eastAsia="Arial" w:hAnsi="Arial" w:cs="Arial"/>
                <w:iCs/>
                <w:color w:val="000000"/>
                <w:sz w:val="20"/>
                <w:szCs w:val="20"/>
                <w:lang w:eastAsia="it-IT" w:bidi="it-IT"/>
              </w:rPr>
              <w:t>Gissi</w:t>
            </w:r>
            <w:proofErr w:type="spellEnd"/>
          </w:p>
        </w:tc>
        <w:tc>
          <w:tcPr>
            <w:tcW w:w="1000" w:type="pct"/>
          </w:tcPr>
          <w:p w:rsidR="00A047C4" w:rsidRPr="00A047C4" w:rsidRDefault="00A047C4" w:rsidP="00A047C4">
            <w:pPr>
              <w:tabs>
                <w:tab w:val="left" w:pos="426"/>
              </w:tabs>
              <w:jc w:val="center"/>
              <w:rPr>
                <w:rFonts w:ascii="Arial" w:eastAsia="Arial" w:hAnsi="Arial" w:cs="Arial"/>
                <w:iCs/>
                <w:color w:val="000000"/>
                <w:sz w:val="20"/>
                <w:szCs w:val="20"/>
                <w:lang w:eastAsia="it-IT" w:bidi="it-IT"/>
              </w:rPr>
            </w:pPr>
            <w:r w:rsidRPr="00A047C4">
              <w:rPr>
                <w:rFonts w:ascii="Arial" w:eastAsia="Arial" w:hAnsi="Arial" w:cs="Arial"/>
                <w:iCs/>
                <w:color w:val="000000"/>
                <w:sz w:val="20"/>
                <w:szCs w:val="20"/>
                <w:lang w:eastAsia="it-IT" w:bidi="it-IT"/>
              </w:rPr>
              <w:t xml:space="preserve">UIL </w:t>
            </w:r>
            <w:proofErr w:type="spellStart"/>
            <w:r w:rsidRPr="00A047C4">
              <w:rPr>
                <w:rFonts w:ascii="Arial" w:eastAsia="Arial" w:hAnsi="Arial" w:cs="Arial"/>
                <w:iCs/>
                <w:color w:val="000000"/>
                <w:sz w:val="20"/>
                <w:szCs w:val="20"/>
                <w:lang w:eastAsia="it-IT" w:bidi="it-IT"/>
              </w:rPr>
              <w:t>Scuola</w:t>
            </w:r>
            <w:proofErr w:type="spellEnd"/>
            <w:r w:rsidRPr="00A047C4">
              <w:rPr>
                <w:rFonts w:ascii="Arial" w:eastAsia="Arial" w:hAnsi="Arial" w:cs="Arial"/>
                <w:iCs/>
                <w:color w:val="000000"/>
                <w:sz w:val="20"/>
                <w:szCs w:val="20"/>
                <w:lang w:eastAsia="it-IT" w:bidi="it-IT"/>
              </w:rPr>
              <w:t xml:space="preserve"> </w:t>
            </w:r>
            <w:proofErr w:type="spellStart"/>
            <w:r w:rsidRPr="00A047C4">
              <w:rPr>
                <w:rFonts w:ascii="Arial" w:eastAsia="Arial" w:hAnsi="Arial" w:cs="Arial"/>
                <w:iCs/>
                <w:color w:val="000000"/>
                <w:sz w:val="20"/>
                <w:szCs w:val="20"/>
                <w:lang w:eastAsia="it-IT" w:bidi="it-IT"/>
              </w:rPr>
              <w:t>Rua</w:t>
            </w:r>
            <w:proofErr w:type="spellEnd"/>
            <w:r w:rsidRPr="00A047C4">
              <w:rPr>
                <w:rFonts w:ascii="Arial" w:eastAsia="Arial" w:hAnsi="Arial" w:cs="Arial"/>
                <w:iCs/>
                <w:color w:val="000000"/>
                <w:sz w:val="20"/>
                <w:szCs w:val="20"/>
                <w:lang w:eastAsia="it-IT" w:bidi="it-IT"/>
              </w:rPr>
              <w:br/>
              <w:t xml:space="preserve">Giuseppe </w:t>
            </w:r>
            <w:proofErr w:type="spellStart"/>
            <w:r w:rsidRPr="00A047C4">
              <w:rPr>
                <w:rFonts w:ascii="Arial" w:eastAsia="Arial" w:hAnsi="Arial" w:cs="Arial"/>
                <w:iCs/>
                <w:color w:val="000000"/>
                <w:sz w:val="20"/>
                <w:szCs w:val="20"/>
                <w:lang w:eastAsia="it-IT" w:bidi="it-IT"/>
              </w:rPr>
              <w:t>Turi</w:t>
            </w:r>
            <w:proofErr w:type="spellEnd"/>
          </w:p>
        </w:tc>
        <w:tc>
          <w:tcPr>
            <w:tcW w:w="1000" w:type="pct"/>
          </w:tcPr>
          <w:p w:rsidR="00A047C4" w:rsidRPr="00A047C4" w:rsidRDefault="00A047C4" w:rsidP="00A047C4">
            <w:pPr>
              <w:tabs>
                <w:tab w:val="left" w:pos="426"/>
              </w:tabs>
              <w:jc w:val="center"/>
              <w:rPr>
                <w:rFonts w:ascii="Arial" w:eastAsia="Arial" w:hAnsi="Arial" w:cs="Arial"/>
                <w:iCs/>
                <w:color w:val="000000"/>
                <w:sz w:val="20"/>
                <w:szCs w:val="20"/>
                <w:lang w:eastAsia="it-IT" w:bidi="it-IT"/>
              </w:rPr>
            </w:pPr>
            <w:r w:rsidRPr="00A047C4">
              <w:rPr>
                <w:rFonts w:ascii="Arial" w:eastAsia="Arial" w:hAnsi="Arial" w:cs="Arial"/>
                <w:iCs/>
                <w:color w:val="000000"/>
                <w:sz w:val="20"/>
                <w:szCs w:val="20"/>
                <w:lang w:eastAsia="it-IT" w:bidi="it-IT"/>
              </w:rPr>
              <w:t xml:space="preserve">SNALS </w:t>
            </w:r>
            <w:proofErr w:type="spellStart"/>
            <w:r w:rsidRPr="00A047C4">
              <w:rPr>
                <w:rFonts w:ascii="Arial" w:eastAsia="Arial" w:hAnsi="Arial" w:cs="Arial"/>
                <w:iCs/>
                <w:color w:val="000000"/>
                <w:sz w:val="20"/>
                <w:szCs w:val="20"/>
                <w:lang w:eastAsia="it-IT" w:bidi="it-IT"/>
              </w:rPr>
              <w:t>Confsal</w:t>
            </w:r>
            <w:proofErr w:type="spellEnd"/>
            <w:r w:rsidRPr="00A047C4">
              <w:rPr>
                <w:rFonts w:ascii="Arial" w:eastAsia="Arial" w:hAnsi="Arial" w:cs="Arial"/>
                <w:iCs/>
                <w:color w:val="000000"/>
                <w:sz w:val="20"/>
                <w:szCs w:val="20"/>
                <w:lang w:eastAsia="it-IT" w:bidi="it-IT"/>
              </w:rPr>
              <w:br/>
              <w:t>Elvira Serafini</w:t>
            </w:r>
          </w:p>
        </w:tc>
        <w:tc>
          <w:tcPr>
            <w:tcW w:w="1000" w:type="pct"/>
          </w:tcPr>
          <w:p w:rsidR="00A047C4" w:rsidRPr="00A047C4" w:rsidRDefault="00A047C4" w:rsidP="00A047C4">
            <w:pPr>
              <w:tabs>
                <w:tab w:val="left" w:pos="426"/>
              </w:tabs>
              <w:jc w:val="center"/>
              <w:rPr>
                <w:rFonts w:ascii="Arial" w:eastAsia="Arial" w:hAnsi="Arial" w:cs="Arial"/>
                <w:iCs/>
                <w:color w:val="000000"/>
                <w:sz w:val="20"/>
                <w:szCs w:val="20"/>
                <w:lang w:eastAsia="it-IT" w:bidi="it-IT"/>
              </w:rPr>
            </w:pPr>
            <w:r w:rsidRPr="00A047C4">
              <w:rPr>
                <w:rFonts w:ascii="Arial" w:eastAsia="Arial" w:hAnsi="Arial" w:cs="Arial"/>
                <w:iCs/>
                <w:color w:val="000000"/>
                <w:sz w:val="20"/>
                <w:szCs w:val="20"/>
                <w:lang w:eastAsia="it-IT" w:bidi="it-IT"/>
              </w:rPr>
              <w:t xml:space="preserve">GILDA </w:t>
            </w:r>
            <w:proofErr w:type="spellStart"/>
            <w:r w:rsidRPr="00A047C4">
              <w:rPr>
                <w:rFonts w:ascii="Arial" w:eastAsia="Arial" w:hAnsi="Arial" w:cs="Arial"/>
                <w:iCs/>
                <w:color w:val="000000"/>
                <w:sz w:val="20"/>
                <w:szCs w:val="20"/>
                <w:lang w:eastAsia="it-IT" w:bidi="it-IT"/>
              </w:rPr>
              <w:t>Unams</w:t>
            </w:r>
            <w:proofErr w:type="spellEnd"/>
            <w:r w:rsidRPr="00A047C4">
              <w:rPr>
                <w:rFonts w:ascii="Arial" w:eastAsia="Arial" w:hAnsi="Arial" w:cs="Arial"/>
                <w:iCs/>
                <w:color w:val="000000"/>
                <w:sz w:val="20"/>
                <w:szCs w:val="20"/>
                <w:lang w:eastAsia="it-IT" w:bidi="it-IT"/>
              </w:rPr>
              <w:br/>
            </w:r>
            <w:proofErr w:type="spellStart"/>
            <w:r w:rsidRPr="00A047C4">
              <w:rPr>
                <w:rFonts w:ascii="Arial" w:eastAsia="Arial" w:hAnsi="Arial" w:cs="Arial"/>
                <w:iCs/>
                <w:color w:val="000000"/>
                <w:sz w:val="20"/>
                <w:szCs w:val="20"/>
                <w:lang w:eastAsia="it-IT" w:bidi="it-IT"/>
              </w:rPr>
              <w:t>Rino</w:t>
            </w:r>
            <w:proofErr w:type="spellEnd"/>
            <w:r w:rsidRPr="00A047C4">
              <w:rPr>
                <w:rFonts w:ascii="Arial" w:eastAsia="Arial" w:hAnsi="Arial" w:cs="Arial"/>
                <w:iCs/>
                <w:color w:val="000000"/>
                <w:sz w:val="20"/>
                <w:szCs w:val="20"/>
                <w:lang w:eastAsia="it-IT" w:bidi="it-IT"/>
              </w:rPr>
              <w:t xml:space="preserve"> Di </w:t>
            </w:r>
            <w:proofErr w:type="spellStart"/>
            <w:r w:rsidRPr="00A047C4">
              <w:rPr>
                <w:rFonts w:ascii="Arial" w:eastAsia="Arial" w:hAnsi="Arial" w:cs="Arial"/>
                <w:iCs/>
                <w:color w:val="000000"/>
                <w:sz w:val="20"/>
                <w:szCs w:val="20"/>
                <w:lang w:eastAsia="it-IT" w:bidi="it-IT"/>
              </w:rPr>
              <w:t>Meglio</w:t>
            </w:r>
            <w:proofErr w:type="spellEnd"/>
          </w:p>
        </w:tc>
      </w:tr>
    </w:tbl>
    <w:p w:rsidR="00AF4844" w:rsidRDefault="00AF4844">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C4"/>
    <w:rsid w:val="00535F11"/>
    <w:rsid w:val="00A047C4"/>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1480F-2AEF-4E1F-8A84-44D43273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047C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2019-08-11T14:34:00Z</dcterms:created>
  <dcterms:modified xsi:type="dcterms:W3CDTF">2019-08-11T14:34:00Z</dcterms:modified>
</cp:coreProperties>
</file>